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E4" w:rsidRPr="00621733" w:rsidRDefault="002079E4" w:rsidP="006D4501">
      <w:pPr>
        <w:spacing w:after="0" w:line="240" w:lineRule="auto"/>
        <w:ind w:left="284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647">
        <w:rPr>
          <w:rFonts w:ascii="Times New Roman" w:hAnsi="Times New Roman" w:cs="Times New Roman"/>
          <w:b/>
          <w:bCs/>
          <w:i/>
          <w:iCs/>
          <w:noProof/>
          <w:sz w:val="18"/>
          <w:lang w:eastAsia="it-IT"/>
        </w:rPr>
        <w:drawing>
          <wp:inline distT="0" distB="0" distL="0" distR="0" wp14:anchorId="5E272E72" wp14:editId="202DAB1A">
            <wp:extent cx="1619250" cy="524573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_com_es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30" cy="53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B6C" w:rsidRPr="0062173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Relazioni con i media 02.</w:t>
      </w:r>
      <w:r w:rsidRPr="0062173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8515.</w:t>
      </w:r>
      <w:r w:rsidR="008A6B6C" w:rsidRPr="0062173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5298, 335.641332.</w:t>
      </w:r>
      <w:r w:rsidRPr="0062173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Comunicati su </w:t>
      </w:r>
      <w:hyperlink r:id="rId6" w:history="1">
        <w:r w:rsidRPr="00621733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it-IT"/>
          </w:rPr>
          <w:t>www.milomb.camcom.it</w:t>
        </w:r>
      </w:hyperlink>
    </w:p>
    <w:p w:rsidR="00D10C28" w:rsidRPr="00621733" w:rsidRDefault="00D10C28" w:rsidP="006D45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56FA0" w:rsidRDefault="00D13A1A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lang w:eastAsia="it-IT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lang w:eastAsia="it-IT"/>
        </w:rPr>
        <w:t>Rifiuti delle imprese: quasi 3 milioni di tonnellate prodotte in un anno</w:t>
      </w:r>
    </w:p>
    <w:p w:rsidR="00D13A1A" w:rsidRPr="00D13A1A" w:rsidRDefault="00D13A1A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it-IT"/>
        </w:rPr>
      </w:pPr>
      <w:r w:rsidRPr="00D13A1A">
        <w:rPr>
          <w:rFonts w:ascii="Times New Roman" w:eastAsia="Times New Roman" w:hAnsi="Times New Roman" w:cs="Times New Roman"/>
          <w:i/>
          <w:sz w:val="40"/>
          <w:szCs w:val="40"/>
          <w:lang w:eastAsia="it-IT"/>
        </w:rPr>
        <w:t>2 milioni a Milano, 382 mila a Monza Brianza, 218 mila a Lodi</w:t>
      </w:r>
    </w:p>
    <w:p w:rsidR="00D13A1A" w:rsidRDefault="00D13A1A" w:rsidP="0076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56FA0" w:rsidRPr="00247656" w:rsidRDefault="007632F7" w:rsidP="0076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Sono circa 3 milioni le tonnellate di rifiuti prodotti all’anno dalle imprese di Milano, Monza Brianza e Lodi tra pericolosi e non pericolosi: emerge da un’elaborazione della Camera di commercio di Milano Monza Brianza Lodi </w:t>
      </w:r>
      <w:r w:rsidR="00D13A1A"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 </w:t>
      </w:r>
      <w:proofErr w:type="spellStart"/>
      <w:r w:rsidR="00D13A1A"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>Infocamere</w:t>
      </w:r>
      <w:proofErr w:type="spellEnd"/>
      <w:r w:rsidR="00D13A1A"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sui dati </w:t>
      </w:r>
      <w:proofErr w:type="spellStart"/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>Mud</w:t>
      </w:r>
      <w:proofErr w:type="spellEnd"/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- Modello Unico di Dichiarazione ambientale 2020 (sulla raccolta 2019). Di questi oltre 2 milioni di tonnellate sono prodotte a Milano, 382 mila a Monza Brianza e 218 mila a Lodi. Oltre alle </w:t>
      </w:r>
      <w:r w:rsidR="00D13A1A"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>imprese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di risanamento </w:t>
      </w:r>
      <w:r w:rsidR="00D13A1A"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(427 mila tonnellate) le attività economiche che producono più rifiuti sono quelle che si occupano di fabbricazione di prodotti in metallo (272 mila) e i lavori di costruzione specializzati (231 mila). La maggior quantità di rifiuti pericolosi è invece prodotta dai settori farmaceutico (115 mila) e chimico (184 mila). </w:t>
      </w:r>
    </w:p>
    <w:p w:rsidR="007632F7" w:rsidRPr="00247656" w:rsidRDefault="007632F7" w:rsidP="00763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4765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Il MUD (o comunicazione annuale al catasto dei rifiuti)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è un </w:t>
      </w:r>
      <w:r w:rsidRPr="00247656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modello attraverso il quale devono essere denunciati i rifiuti 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prodotti dalle </w:t>
      </w:r>
      <w:r w:rsidRPr="00247656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attività economiche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i rifiuti raccolti dal </w:t>
      </w:r>
      <w:r w:rsidRPr="00247656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comune </w:t>
      </w:r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 quelli smaltiti, avviati al recupero, trasportati o intermediati nell'anno precedente la dichiarazione. La scadenza per l’anno 2021 per la presentazione del </w:t>
      </w:r>
      <w:proofErr w:type="spellStart"/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>Mud</w:t>
      </w:r>
      <w:proofErr w:type="spellEnd"/>
      <w:r w:rsidRPr="0024765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è stata fissata al 16 giugno 2021.</w:t>
      </w:r>
    </w:p>
    <w:p w:rsidR="00C41BAF" w:rsidRPr="00D13A1A" w:rsidRDefault="00C41BAF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551EC" w:rsidRPr="001551EC" w:rsidRDefault="001551EC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1EC">
        <w:rPr>
          <w:rFonts w:ascii="Calibri" w:eastAsia="Calibri" w:hAnsi="Calibri" w:cs="Times New Roman"/>
          <w:i/>
          <w:color w:val="000000"/>
          <w:sz w:val="24"/>
          <w:szCs w:val="24"/>
          <w:lang w:eastAsia="it-IT"/>
        </w:rPr>
        <w:t xml:space="preserve">Elaborazione Camera di commercio di Milano Monza Brianza Lodi – </w:t>
      </w:r>
      <w:proofErr w:type="spellStart"/>
      <w:r w:rsidRPr="001551EC">
        <w:rPr>
          <w:rFonts w:ascii="Calibri" w:eastAsia="Calibri" w:hAnsi="Calibri" w:cs="Times New Roman"/>
          <w:i/>
          <w:color w:val="000000"/>
          <w:sz w:val="24"/>
          <w:szCs w:val="24"/>
          <w:lang w:eastAsia="it-IT"/>
        </w:rPr>
        <w:t>Infocamere</w:t>
      </w:r>
      <w:proofErr w:type="spellEnd"/>
      <w:r w:rsidRPr="001551EC">
        <w:rPr>
          <w:rFonts w:ascii="Calibri" w:eastAsia="Calibri" w:hAnsi="Calibri" w:cs="Times New Roman"/>
          <w:i/>
          <w:color w:val="000000"/>
          <w:sz w:val="24"/>
          <w:szCs w:val="24"/>
          <w:lang w:eastAsia="it-IT"/>
        </w:rPr>
        <w:t xml:space="preserve"> su dati </w:t>
      </w:r>
      <w:proofErr w:type="spellStart"/>
      <w:r w:rsidRPr="001551EC">
        <w:rPr>
          <w:rFonts w:ascii="Calibri" w:eastAsia="Calibri" w:hAnsi="Calibri" w:cs="Times New Roman"/>
          <w:i/>
          <w:color w:val="000000"/>
          <w:sz w:val="24"/>
          <w:szCs w:val="24"/>
          <w:lang w:eastAsia="it-IT"/>
        </w:rPr>
        <w:t>Mud</w:t>
      </w:r>
      <w:proofErr w:type="spellEnd"/>
      <w:r w:rsidRPr="001551EC">
        <w:rPr>
          <w:rFonts w:ascii="Calibri" w:eastAsia="Calibri" w:hAnsi="Calibri" w:cs="Times New Roman"/>
          <w:i/>
          <w:color w:val="000000"/>
          <w:sz w:val="24"/>
          <w:szCs w:val="24"/>
          <w:lang w:eastAsia="it-IT"/>
        </w:rPr>
        <w:t xml:space="preserve"> 2020</w:t>
      </w:r>
    </w:p>
    <w:p w:rsidR="001551EC" w:rsidRDefault="001551EC" w:rsidP="001551EC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Totale rifiuti speciali prodotti dalle imprese a Milano, Monza Brianza e Lodi</w:t>
      </w:r>
    </w:p>
    <w:tbl>
      <w:tblPr>
        <w:tblW w:w="53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88"/>
        <w:gridCol w:w="1032"/>
        <w:gridCol w:w="913"/>
        <w:gridCol w:w="872"/>
        <w:gridCol w:w="1034"/>
        <w:gridCol w:w="911"/>
        <w:gridCol w:w="832"/>
        <w:gridCol w:w="911"/>
        <w:gridCol w:w="809"/>
        <w:gridCol w:w="767"/>
        <w:gridCol w:w="850"/>
        <w:gridCol w:w="789"/>
      </w:tblGrid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Classe Dimensionale Addetti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PERICOLOSI (t)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NON PERICOLOSI (t)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Quantità (t) Mi-MB-LO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PERICOLOSI (t)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NON PERICOLOSI (t)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Quantità (t) Mi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PERICOLOSI (t)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NON PERICOLOSI (t)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Quantità (t) MB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PERICOLOSI (t)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NON PERICOLOSI (t)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1EC" w:rsidRPr="001551EC" w:rsidRDefault="001551EC" w:rsidP="0015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Quantità (t) LO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 :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8.266,57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272.586,38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280.852,94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6.604,96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219.159,13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225.764,09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1.385,89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11.479,96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12.865,85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275,72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41.947,29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42.223,00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 : 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9.548,11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330.999,28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340.547,38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6.065,49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305.582,35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311.647,84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3.052,97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13.033,61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16.086,58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429,65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12.383,31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12.812,96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 : 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17.636,21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168.099,80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185.736,00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14.922,93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152.088,18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167.011,11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2.318,90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13.233,32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15.552,21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394,38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2.778,30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3.172,68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 : 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37.219,68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535.076,30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572.295,98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29.888,82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488.229,90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518.118,72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5.563,38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38.959,15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44.522,53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1.767,48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7.887,24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9.654,72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 : 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77.449,02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347.908,88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425.357,89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60.456,19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261.849,58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322.305,77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8.074,31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60.261,28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68.335,60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8.918,51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25.798,01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34.716,53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 : 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79.163,00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304.698,83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383.861,83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39.869,36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237.664,36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277.533,72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11.583,31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42.332,91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53.916,22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27.710,33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24.701,56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52.411,89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100 : 199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85.556,77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325.419,54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410.976,31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47.673,49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239.390,40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287.063,89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17.202,20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55.833,37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73.035,57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20.681,08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30.195,77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50.876,85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200 : 499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83.063,85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193.130,67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276.194,52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65.347,58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122.421,81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187.769,40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15.570,28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63.624,56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79.194,83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2.145,99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7.084,30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9.230,29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500 : Oltre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27.835,91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51.088,54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78.924,45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21.782,25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36.275,91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58.058,16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5.831,36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12.512,95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18.344,30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222,30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2.299,69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2.521,99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Non Censito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233,79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3.837,34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4.071,13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139,99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3.695,52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3.835,51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93,55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45,67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139,22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96,15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96,40</w:t>
            </w:r>
          </w:p>
        </w:tc>
      </w:tr>
      <w:tr w:rsidR="001551EC" w:rsidRPr="001551EC" w:rsidTr="001551EC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425.972,90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2.532.845,54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2.958.818,44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292.751,07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2.066.357,15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2.359.108,23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70.676,14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311.316,77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381.992,92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62.545,68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155.171,62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551EC" w:rsidRPr="001551EC" w:rsidRDefault="001551EC" w:rsidP="00155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15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217.717,30</w:t>
            </w:r>
          </w:p>
        </w:tc>
      </w:tr>
    </w:tbl>
    <w:p w:rsidR="001551EC" w:rsidRPr="00247656" w:rsidRDefault="001551EC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551EC" w:rsidRPr="001551EC" w:rsidRDefault="001551EC" w:rsidP="001551EC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1EC">
        <w:rPr>
          <w:rFonts w:ascii="Times New Roman" w:eastAsia="Calibri" w:hAnsi="Times New Roman" w:cs="Times New Roman"/>
          <w:b/>
          <w:sz w:val="28"/>
          <w:szCs w:val="28"/>
        </w:rPr>
        <w:t>Le 10 attività economiche che producono più rifiuti a Milano, Monza Brianza, Lodi</w:t>
      </w:r>
    </w:p>
    <w:tbl>
      <w:tblPr>
        <w:tblW w:w="5359" w:type="pct"/>
        <w:jc w:val="center"/>
        <w:tblInd w:w="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181"/>
        <w:gridCol w:w="582"/>
        <w:gridCol w:w="1146"/>
        <w:gridCol w:w="1146"/>
        <w:gridCol w:w="980"/>
        <w:gridCol w:w="634"/>
      </w:tblGrid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656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Classe </w:t>
            </w:r>
          </w:p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Ateco</w:t>
            </w:r>
            <w:proofErr w:type="spellEnd"/>
          </w:p>
        </w:tc>
        <w:tc>
          <w:tcPr>
            <w:tcW w:w="27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 ATTIVITA' ECONOMICA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INS.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PERICOLOSI (t)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 PERICOLOSI (t)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(t)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ATTIVITÀ DI RISANAMENTO E ALTRI SERVIZI DI GESTIONE DEI RIFIUTI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12.079,21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414.665,67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426.744,88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14,42%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45.850,51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226.046,70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271.897,21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9,19%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LAVORI DI COSTRUZIONE SPECIALIZZATI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1.903,63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229.176,47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231.080,11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7,81%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CHIMICI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108.183,24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83.973,93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192.157,17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6,49%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COSTRUZIONE DI EDIFICI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1.007,19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182.492,87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183.500,05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6,20%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INGEGNERIA CIVILE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498,63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166.973,29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167.471,92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5,66%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FARMACEUTICI DI BASE E DI PREPARATI FARMACEUTICI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115.284,98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37.760,52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153.045,50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5,17%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COMMERCIO ALL'INGROSSO (ESCLUSO QUELLO DI AUTOVEICOLI E DI MOTOCICLI)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8.087,74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137.770,37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145.858,11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4,93%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RACCOLTA, TRATTAMENTO E FORNITURA DI ACQUA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263,80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122.408,03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122.671,83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4,15%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METALLURGIA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18.353,99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72.270,80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90.624,78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3,06%</w:t>
            </w:r>
          </w:p>
        </w:tc>
      </w:tr>
      <w:tr w:rsidR="00247656" w:rsidRPr="00CD0B47" w:rsidTr="00247656">
        <w:trPr>
          <w:trHeight w:val="20"/>
          <w:jc w:val="center"/>
        </w:trPr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F660DD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F6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  <w:r w:rsidR="00F6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tutti i settori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21.240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425.972,90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2.532.846,54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F6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2.958.81</w:t>
            </w:r>
            <w:r w:rsidR="00F660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  <w:r w:rsidRPr="00CD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,44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1EC" w:rsidRPr="00CD0B47" w:rsidRDefault="001551EC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0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1551EC" w:rsidRDefault="001551EC" w:rsidP="001551EC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CDCEBC3" wp14:editId="324D5E59">
            <wp:extent cx="5691117" cy="2129051"/>
            <wp:effectExtent l="0" t="0" r="5080" b="508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2F7" w:rsidRDefault="007632F7" w:rsidP="001551EC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1EC" w:rsidRDefault="007632F7" w:rsidP="001551EC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  <w:r w:rsidRPr="001551EC">
        <w:rPr>
          <w:rFonts w:ascii="Times New Roman" w:eastAsia="Calibri" w:hAnsi="Times New Roman" w:cs="Times New Roman"/>
          <w:b/>
          <w:sz w:val="28"/>
          <w:szCs w:val="28"/>
        </w:rPr>
        <w:t>Le 10 attività economiche che producono più rifiuti a Milano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5315"/>
        <w:gridCol w:w="580"/>
        <w:gridCol w:w="1145"/>
        <w:gridCol w:w="1145"/>
        <w:gridCol w:w="980"/>
        <w:gridCol w:w="634"/>
      </w:tblGrid>
      <w:tr w:rsidR="007632F7" w:rsidRPr="007632F7" w:rsidTr="007632F7">
        <w:trPr>
          <w:trHeight w:val="2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Classe </w:t>
            </w:r>
            <w:proofErr w:type="spellStart"/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Ateco</w:t>
            </w:r>
            <w:proofErr w:type="spellEnd"/>
          </w:p>
        </w:tc>
        <w:tc>
          <w:tcPr>
            <w:tcW w:w="27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 ATTIVITA' ECONOMICA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INS.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PERICOLOSI (t)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 PERICOLOSI (t)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(t)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ATTIVITÀ DI RISANAMENTO E ALTRI SERVIZI DI GESTIONE DEI RIFIUTI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12.065,57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411.793,71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423.859,27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17,97%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LAVORI DI COSTRUZIONE SPECIALIZZATI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1.573,23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223.408,01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224.981,24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9,54%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COSTRUZIONE DI EDIFICI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182.181,04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182.788,70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7,75%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25.950,15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150.636,53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176.586,67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7,49%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INGEGNERIA CIVILE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165.465,61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165.927,61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7,03%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CHIMICI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73.575,73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61.289,63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134.865,36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5,72%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COMMERCIO ALL'INGROSSO (ESCLUSO QUELLO DI AUTOVEICOLI E DI MOTOCICLI)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6.724,51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123.140,18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129.864,69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5,50%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RACCOLTA, TRATTAMENTO E FORNITURA DI ACQUA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259,55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122.188,65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122.448,20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5,19%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FARMACEUTICI DI BASE E DI PREPARATI FARMACEUTICI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74.799,04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23.585,11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98.384,15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4,17%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METALLURGIA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13.640,44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50.741,71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64.382,15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2,73%</w:t>
            </w:r>
          </w:p>
        </w:tc>
      </w:tr>
      <w:tr w:rsidR="007632F7" w:rsidRPr="007632F7" w:rsidTr="007632F7">
        <w:trPr>
          <w:trHeight w:val="20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15.483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292.751,07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2.066.357,15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2.359.108,23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1551EC" w:rsidRDefault="001551EC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5515"/>
        <w:gridCol w:w="500"/>
        <w:gridCol w:w="1145"/>
        <w:gridCol w:w="1145"/>
        <w:gridCol w:w="860"/>
        <w:gridCol w:w="634"/>
      </w:tblGrid>
      <w:tr w:rsidR="007632F7" w:rsidRPr="007632F7" w:rsidTr="007632F7">
        <w:trPr>
          <w:trHeight w:val="2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Classe </w:t>
            </w:r>
            <w:proofErr w:type="spellStart"/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Ateco</w:t>
            </w:r>
            <w:proofErr w:type="spellEnd"/>
          </w:p>
        </w:tc>
        <w:tc>
          <w:tcPr>
            <w:tcW w:w="2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 ATTIVITA' ECONOMICA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INS.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PERICOLOSI (t)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 PERICOLOSI (t)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(t)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17.179,43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69.380,86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86.560,29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22,66%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286,21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26.503,07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26.789,28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7,01%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CHIMICI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10.836,74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13.257,18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24.093,92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6,31%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MOBILI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748,49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21.218,06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21.966,55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5,75%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ARTICOLI IN GOMMA E MATERIE PLASTICHE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2.233,77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16.968,71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19.202,48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5,03%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FARMACEUTICI DI BASE E DI PREPARATI FARMACEUTICI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9.978,97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8.682,50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18.661,47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4,89%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METALLURGIA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4.583,51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13.788,22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18.371,73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4,81%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MACCHINARI ED APPARECCHIATURE NCA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2.287,17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15.939,22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18.226,39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4,77%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CARTA E DI PRODOTTI DI CARTA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757,09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16.215,04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16.972,13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4,44%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COMMERCIO ALL'INGROSSO (ESCLUSO QUELLO DI AUTOVEICOLI E DI MOTOCICLI)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1.233,72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13.982,76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15.216,48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3,98%</w:t>
            </w:r>
          </w:p>
        </w:tc>
      </w:tr>
      <w:tr w:rsidR="007632F7" w:rsidRPr="007632F7" w:rsidTr="007632F7">
        <w:trPr>
          <w:trHeight w:val="20"/>
        </w:trPr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4.460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70.676,14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311.316,77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381.992,92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7632F7" w:rsidRDefault="007632F7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5515"/>
        <w:gridCol w:w="500"/>
        <w:gridCol w:w="1145"/>
        <w:gridCol w:w="1145"/>
        <w:gridCol w:w="860"/>
        <w:gridCol w:w="634"/>
      </w:tblGrid>
      <w:tr w:rsidR="007632F7" w:rsidRPr="007632F7" w:rsidTr="007632F7">
        <w:trPr>
          <w:trHeight w:val="2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Classe </w:t>
            </w:r>
            <w:proofErr w:type="spellStart"/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Ateco</w:t>
            </w:r>
            <w:proofErr w:type="spellEnd"/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 ATTIVITA' ECONOMICA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 INS.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PERICOLOSI (t)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NON PERICOLOSI (t)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(t)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FARMACEUTICI DI BASE E DI PREPARATI FARMACEUTICI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30.506,97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5.492,91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35.999,88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16,54%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CHIMICI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23.770,77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9.427,12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33.197,89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15,25%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ATTIVITÀ DI RACCOLTA, TRATTAMENTO E SMALTIMENTO DEI RIFIUTI; RECUPERO DEI MATERIALI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28,01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20.572,65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20.600,66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9,46%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GESTIONE DELLE RETI FOGNARIE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20.399,79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20.400,08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9,37%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INDUSTRIE ALIMENTARI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13.635,73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13.659,24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6,27%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129,83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11.401,44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11.531,26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5,30%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ARTICOLI IN GOMMA E MATERIE PLASTICHE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607,94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9.402,73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10.010,67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4,60%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AMMINISTRAZIONE PUBBLICA E DIFESA; ASSICURAZIONE SOCIALE OBBLIGATORIA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9.358,92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9.360,49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4,30%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2.720,93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6.029,31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8.750,25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4,02%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MAGAZZINAGGIO E ATTIVITÀ DI SUPPORTO AI TRASPORTI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257,11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8.404,52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8.661,63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3,98%</w:t>
            </w:r>
          </w:p>
        </w:tc>
      </w:tr>
      <w:tr w:rsidR="007632F7" w:rsidRPr="007632F7" w:rsidTr="007632F7">
        <w:trPr>
          <w:trHeight w:val="20"/>
        </w:trPr>
        <w:tc>
          <w:tcPr>
            <w:tcW w:w="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1.297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62.545,68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155.171,62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217.717,30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2F7" w:rsidRPr="007632F7" w:rsidRDefault="007632F7" w:rsidP="007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63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7632F7" w:rsidRDefault="007632F7" w:rsidP="0045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456FA0" w:rsidRDefault="00C41BAF" w:rsidP="00C41BAF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Totale rifiuti speciali prodotti dalle imprese e media per insediamento produttivo a Milano, Monza Brianza e Lodi</w:t>
      </w:r>
    </w:p>
    <w:tbl>
      <w:tblPr>
        <w:tblW w:w="9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1440"/>
        <w:gridCol w:w="1860"/>
        <w:gridCol w:w="1760"/>
      </w:tblGrid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Classe Dimensionale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Insediamenti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Quantità (t)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Media per Insediamento (t)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 :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8.964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280.852,94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44,18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: 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340.547,38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85,82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 : 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17.466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185.736,00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77,68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 : 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47.983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572.295,98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161,21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 : 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82.485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425.357,89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158,60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 : 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76.025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383.861,83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345,82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100 : 199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89.334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410.976,31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632,27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200 : 499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95.290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276.194,52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847,22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 : Oltre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182.188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78.924,45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536,90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Non Censito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4.071,13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69,00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21.240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614.891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2.958.818,44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139,30</w:t>
            </w:r>
          </w:p>
        </w:tc>
      </w:tr>
    </w:tbl>
    <w:p w:rsidR="00C41BAF" w:rsidRDefault="00C41BAF" w:rsidP="00C41BAF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BAF" w:rsidRDefault="00C41BAF" w:rsidP="00C41BAF">
      <w:pPr>
        <w:spacing w:line="360" w:lineRule="auto"/>
        <w:ind w:left="284" w:right="1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155FAF6" wp14:editId="1A8998A5">
            <wp:extent cx="5984544" cy="2729552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1BAF" w:rsidRDefault="00C41BAF" w:rsidP="00D13A1A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Totale rifiuti speciali prodotti dalle imprese e media per insediamento produttivo</w:t>
      </w:r>
    </w:p>
    <w:p w:rsidR="00C41BAF" w:rsidRPr="00C41BAF" w:rsidRDefault="00C41BAF" w:rsidP="00D13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AF">
        <w:rPr>
          <w:rFonts w:ascii="Times New Roman" w:eastAsia="Calibri" w:hAnsi="Times New Roman" w:cs="Times New Roman"/>
          <w:b/>
          <w:sz w:val="28"/>
          <w:szCs w:val="28"/>
        </w:rPr>
        <w:t>A Milano</w:t>
      </w:r>
    </w:p>
    <w:tbl>
      <w:tblPr>
        <w:tblW w:w="9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1440"/>
        <w:gridCol w:w="1860"/>
        <w:gridCol w:w="1760"/>
      </w:tblGrid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D1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Classe Dimensionale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D1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Insediamenti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D1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D1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Quantità (t)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D1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Media per Insediamento (t)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 :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6.661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225.764,09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47,66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: 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11.162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311.647,84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106,66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 : 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12.563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167.011,11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97,21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 : 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32.845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518.118,72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212,69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 : 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59.206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322.305,77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167,96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 : 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56.522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277.533,72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336,00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100 : 199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66.970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287.063,89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585,84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200 : 499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76.046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187.769,40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724,98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 : Oltre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163.194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58.058,16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443,19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Non Censito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3.835,51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85,23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15.483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485.169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2.359.108,23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D13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152,37</w:t>
            </w:r>
          </w:p>
        </w:tc>
      </w:tr>
    </w:tbl>
    <w:p w:rsidR="00C41BAF" w:rsidRDefault="00C41BAF" w:rsidP="00D13A1A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</w:p>
    <w:p w:rsidR="00D13A1A" w:rsidRDefault="00C41BAF" w:rsidP="00F660DD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  <w:r>
        <w:rPr>
          <w:noProof/>
          <w:lang w:eastAsia="it-IT"/>
        </w:rPr>
        <w:drawing>
          <wp:inline distT="0" distB="0" distL="0" distR="0" wp14:anchorId="6520E56C" wp14:editId="3A0E5892">
            <wp:extent cx="5233917" cy="2436126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  <w:r w:rsidR="00D13A1A"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  <w:br w:type="page"/>
      </w:r>
    </w:p>
    <w:p w:rsidR="00C41BAF" w:rsidRDefault="00C41BAF" w:rsidP="00C41BAF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Totale rifiuti speciali prodotti dalle imprese e media per insediamento produttivo</w:t>
      </w:r>
    </w:p>
    <w:p w:rsidR="00C41BAF" w:rsidRPr="00C41BAF" w:rsidRDefault="00C41BAF" w:rsidP="00C41B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BAF">
        <w:rPr>
          <w:rFonts w:ascii="Times New Roman" w:eastAsia="Calibri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Calibri" w:hAnsi="Times New Roman" w:cs="Times New Roman"/>
          <w:b/>
          <w:sz w:val="28"/>
          <w:szCs w:val="28"/>
        </w:rPr>
        <w:t>Monza Brianza</w:t>
      </w:r>
    </w:p>
    <w:tbl>
      <w:tblPr>
        <w:tblW w:w="9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1440"/>
        <w:gridCol w:w="1860"/>
        <w:gridCol w:w="1760"/>
      </w:tblGrid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Classe Dimensionale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Insediamenti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Quantità (t)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AF" w:rsidRPr="00C41BAF" w:rsidRDefault="00C41BAF" w:rsidP="00C4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Media per Insediamento (t)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 :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1.682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12.865,85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10,94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: 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16.086,58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20,23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 : 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3.793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15.552,21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30,02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 : 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44.522,53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48,29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 : 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19.218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68.335,60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108,47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 : 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14.937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53.916,22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243,96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100 : 199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16.781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73.035,57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598,65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200 : 499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15.357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79.194,83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1.494,24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 : Oltre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16.113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18.344,30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1.411,10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Non Censito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139,22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13,92</w:t>
            </w:r>
          </w:p>
        </w:tc>
      </w:tr>
      <w:tr w:rsidR="00C41BAF" w:rsidRPr="00C41BAF" w:rsidTr="00C41BAF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4.460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103.516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381.992,92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1BAF" w:rsidRPr="00C41BAF" w:rsidRDefault="00C41BAF" w:rsidP="00C4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4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85,65</w:t>
            </w:r>
          </w:p>
        </w:tc>
      </w:tr>
    </w:tbl>
    <w:p w:rsidR="00C41BAF" w:rsidRDefault="00C41BAF" w:rsidP="00456FA0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</w:p>
    <w:p w:rsidR="00400302" w:rsidRDefault="00400302" w:rsidP="00456FA0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  <w:r>
        <w:rPr>
          <w:noProof/>
          <w:lang w:eastAsia="it-IT"/>
        </w:rPr>
        <w:drawing>
          <wp:inline distT="0" distB="0" distL="0" distR="0" wp14:anchorId="7053A9EB" wp14:editId="54AA81D3">
            <wp:extent cx="4940490" cy="2729553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302" w:rsidRDefault="00400302" w:rsidP="00456FA0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</w:p>
    <w:p w:rsidR="00400302" w:rsidRDefault="00400302" w:rsidP="00400302">
      <w:pPr>
        <w:spacing w:after="0" w:line="240" w:lineRule="auto"/>
        <w:ind w:left="284" w:right="19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Totale rifiuti speciali prodotti dalle imprese e media per insediamento produttivo</w:t>
      </w:r>
    </w:p>
    <w:p w:rsidR="00400302" w:rsidRDefault="00400302" w:rsidP="00400302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b/>
          <w:color w:val="000000"/>
          <w:sz w:val="26"/>
          <w:szCs w:val="26"/>
          <w:lang w:eastAsia="it-IT"/>
        </w:rPr>
      </w:pPr>
      <w:r w:rsidRPr="00C41BAF">
        <w:rPr>
          <w:rFonts w:ascii="Times New Roman" w:eastAsia="Calibri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Calibri" w:hAnsi="Times New Roman" w:cs="Times New Roman"/>
          <w:b/>
          <w:sz w:val="28"/>
          <w:szCs w:val="28"/>
        </w:rPr>
        <w:t>Lodi</w:t>
      </w:r>
    </w:p>
    <w:tbl>
      <w:tblPr>
        <w:tblW w:w="9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1440"/>
        <w:gridCol w:w="1860"/>
        <w:gridCol w:w="1760"/>
      </w:tblGrid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302" w:rsidRPr="00400302" w:rsidRDefault="00400302" w:rsidP="004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Classe Dimensionale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302" w:rsidRPr="00400302" w:rsidRDefault="00400302" w:rsidP="004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Insediamenti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302" w:rsidRPr="00400302" w:rsidRDefault="00400302" w:rsidP="004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Addetti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302" w:rsidRPr="00400302" w:rsidRDefault="00400302" w:rsidP="004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Quantità (t)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302" w:rsidRPr="00400302" w:rsidRDefault="00400302" w:rsidP="004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Media per Insediamento (t)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 :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42.223,00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95,10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: 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12.812,96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51,05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 : 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3.172,68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20,47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 : 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9.654,72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50,29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 : 49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4.061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34.716,53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261,03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 : 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4.566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52.411,89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831,93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100 : 199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5.583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50.876,85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1.338,86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200 : 499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3.887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9.230,29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659,31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500 : Oltre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2.881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2.521,99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840,66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Non Censito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96,40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24,10</w:t>
            </w:r>
          </w:p>
        </w:tc>
      </w:tr>
      <w:tr w:rsidR="00400302" w:rsidRPr="00400302" w:rsidTr="00400302">
        <w:trPr>
          <w:trHeight w:val="20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1.297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26.206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217.717,30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302" w:rsidRPr="00400302" w:rsidRDefault="00400302" w:rsidP="00400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0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167,86</w:t>
            </w:r>
          </w:p>
        </w:tc>
      </w:tr>
    </w:tbl>
    <w:p w:rsidR="00456FA0" w:rsidRPr="00456FA0" w:rsidRDefault="00400302" w:rsidP="00456FA0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Calibri" w:eastAsia="Calibri" w:hAnsi="Calibri" w:cs="Times New Roman"/>
          <w:i/>
          <w:color w:val="000000"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3B88034B" wp14:editId="6BF33055">
            <wp:extent cx="4783541" cy="2545307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456FA0" w:rsidRPr="00456FA0" w:rsidSect="00D13A1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ssandra Pigoni">
    <w15:presenceInfo w15:providerId="AD" w15:userId="S-1-5-21-2030399488-2058227119-945835055-1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28"/>
    <w:rsid w:val="000332CE"/>
    <w:rsid w:val="00043D5D"/>
    <w:rsid w:val="0004558C"/>
    <w:rsid w:val="00046BB5"/>
    <w:rsid w:val="000539B7"/>
    <w:rsid w:val="00065AF4"/>
    <w:rsid w:val="00074A36"/>
    <w:rsid w:val="000A41BD"/>
    <w:rsid w:val="000A4333"/>
    <w:rsid w:val="000C5697"/>
    <w:rsid w:val="000D488D"/>
    <w:rsid w:val="000F2707"/>
    <w:rsid w:val="000F2DC1"/>
    <w:rsid w:val="00116C3A"/>
    <w:rsid w:val="00142909"/>
    <w:rsid w:val="00150D36"/>
    <w:rsid w:val="001551EC"/>
    <w:rsid w:val="00187357"/>
    <w:rsid w:val="00190063"/>
    <w:rsid w:val="001A545B"/>
    <w:rsid w:val="001A5CD7"/>
    <w:rsid w:val="001A7420"/>
    <w:rsid w:val="00203002"/>
    <w:rsid w:val="00203516"/>
    <w:rsid w:val="002079E4"/>
    <w:rsid w:val="00216A44"/>
    <w:rsid w:val="0022321C"/>
    <w:rsid w:val="00224F0C"/>
    <w:rsid w:val="00227FC3"/>
    <w:rsid w:val="00247499"/>
    <w:rsid w:val="00247656"/>
    <w:rsid w:val="00260914"/>
    <w:rsid w:val="002A1E38"/>
    <w:rsid w:val="002A4286"/>
    <w:rsid w:val="002A43B6"/>
    <w:rsid w:val="00312CB3"/>
    <w:rsid w:val="00323108"/>
    <w:rsid w:val="00351C22"/>
    <w:rsid w:val="00353973"/>
    <w:rsid w:val="003710FD"/>
    <w:rsid w:val="00384D86"/>
    <w:rsid w:val="003D4A57"/>
    <w:rsid w:val="003D739C"/>
    <w:rsid w:val="003E656B"/>
    <w:rsid w:val="00400302"/>
    <w:rsid w:val="00414CB2"/>
    <w:rsid w:val="00426C78"/>
    <w:rsid w:val="00426F3C"/>
    <w:rsid w:val="0043640B"/>
    <w:rsid w:val="00452C05"/>
    <w:rsid w:val="00454301"/>
    <w:rsid w:val="00456FA0"/>
    <w:rsid w:val="00457267"/>
    <w:rsid w:val="00467B47"/>
    <w:rsid w:val="004735CB"/>
    <w:rsid w:val="004819B1"/>
    <w:rsid w:val="00483F37"/>
    <w:rsid w:val="004A3C5D"/>
    <w:rsid w:val="004D04C1"/>
    <w:rsid w:val="004D5DD9"/>
    <w:rsid w:val="00511ECA"/>
    <w:rsid w:val="00531BD1"/>
    <w:rsid w:val="005662D7"/>
    <w:rsid w:val="00591F18"/>
    <w:rsid w:val="005C7670"/>
    <w:rsid w:val="005C7E7A"/>
    <w:rsid w:val="005D67AC"/>
    <w:rsid w:val="005E37B4"/>
    <w:rsid w:val="005E6AAF"/>
    <w:rsid w:val="00605F83"/>
    <w:rsid w:val="00607FED"/>
    <w:rsid w:val="00621733"/>
    <w:rsid w:val="00622A97"/>
    <w:rsid w:val="00672A6E"/>
    <w:rsid w:val="00696F42"/>
    <w:rsid w:val="006A6119"/>
    <w:rsid w:val="006D01FD"/>
    <w:rsid w:val="006D08DA"/>
    <w:rsid w:val="006D4501"/>
    <w:rsid w:val="006E6285"/>
    <w:rsid w:val="00726AC0"/>
    <w:rsid w:val="007314BF"/>
    <w:rsid w:val="00752CFB"/>
    <w:rsid w:val="007632F7"/>
    <w:rsid w:val="00767AFA"/>
    <w:rsid w:val="00775CA3"/>
    <w:rsid w:val="007A2D1A"/>
    <w:rsid w:val="007E576B"/>
    <w:rsid w:val="007F1DC9"/>
    <w:rsid w:val="007F5788"/>
    <w:rsid w:val="00823C9F"/>
    <w:rsid w:val="00865684"/>
    <w:rsid w:val="008762C0"/>
    <w:rsid w:val="00883866"/>
    <w:rsid w:val="00883F2C"/>
    <w:rsid w:val="008A6B6C"/>
    <w:rsid w:val="008D2152"/>
    <w:rsid w:val="008E3937"/>
    <w:rsid w:val="008E59EF"/>
    <w:rsid w:val="008F3540"/>
    <w:rsid w:val="00911009"/>
    <w:rsid w:val="009138A8"/>
    <w:rsid w:val="00926372"/>
    <w:rsid w:val="0093517C"/>
    <w:rsid w:val="00936F8F"/>
    <w:rsid w:val="00937F03"/>
    <w:rsid w:val="00965060"/>
    <w:rsid w:val="009725B3"/>
    <w:rsid w:val="00994368"/>
    <w:rsid w:val="009A1F76"/>
    <w:rsid w:val="009B4412"/>
    <w:rsid w:val="009D4CA1"/>
    <w:rsid w:val="009F470C"/>
    <w:rsid w:val="00A16F26"/>
    <w:rsid w:val="00A264B0"/>
    <w:rsid w:val="00A44A42"/>
    <w:rsid w:val="00A56717"/>
    <w:rsid w:val="00A6726A"/>
    <w:rsid w:val="00A75695"/>
    <w:rsid w:val="00A90E9D"/>
    <w:rsid w:val="00AD1D2D"/>
    <w:rsid w:val="00AE6F6D"/>
    <w:rsid w:val="00AF6B7E"/>
    <w:rsid w:val="00B06A4F"/>
    <w:rsid w:val="00B1070D"/>
    <w:rsid w:val="00B245EC"/>
    <w:rsid w:val="00B54659"/>
    <w:rsid w:val="00B554FF"/>
    <w:rsid w:val="00B56E17"/>
    <w:rsid w:val="00BD0A62"/>
    <w:rsid w:val="00BE52CC"/>
    <w:rsid w:val="00C13CC5"/>
    <w:rsid w:val="00C17B83"/>
    <w:rsid w:val="00C21B13"/>
    <w:rsid w:val="00C41BAF"/>
    <w:rsid w:val="00C622C4"/>
    <w:rsid w:val="00C72711"/>
    <w:rsid w:val="00C75746"/>
    <w:rsid w:val="00CA26D2"/>
    <w:rsid w:val="00CC225E"/>
    <w:rsid w:val="00CD0B47"/>
    <w:rsid w:val="00CE3635"/>
    <w:rsid w:val="00CE5B4E"/>
    <w:rsid w:val="00CF1E7A"/>
    <w:rsid w:val="00D1006C"/>
    <w:rsid w:val="00D10C28"/>
    <w:rsid w:val="00D13470"/>
    <w:rsid w:val="00D13600"/>
    <w:rsid w:val="00D13A1A"/>
    <w:rsid w:val="00D229A0"/>
    <w:rsid w:val="00D2607D"/>
    <w:rsid w:val="00D32842"/>
    <w:rsid w:val="00D439A6"/>
    <w:rsid w:val="00D45FF6"/>
    <w:rsid w:val="00D46A63"/>
    <w:rsid w:val="00D547CF"/>
    <w:rsid w:val="00D93DCA"/>
    <w:rsid w:val="00D95A3B"/>
    <w:rsid w:val="00DA579E"/>
    <w:rsid w:val="00DC3DD8"/>
    <w:rsid w:val="00DD39D2"/>
    <w:rsid w:val="00DD4564"/>
    <w:rsid w:val="00DD795B"/>
    <w:rsid w:val="00E22D17"/>
    <w:rsid w:val="00E45BD0"/>
    <w:rsid w:val="00E85025"/>
    <w:rsid w:val="00EA3123"/>
    <w:rsid w:val="00ED4473"/>
    <w:rsid w:val="00EE2DF4"/>
    <w:rsid w:val="00F0229D"/>
    <w:rsid w:val="00F1046C"/>
    <w:rsid w:val="00F535E0"/>
    <w:rsid w:val="00F574C1"/>
    <w:rsid w:val="00F660DD"/>
    <w:rsid w:val="00F70EC6"/>
    <w:rsid w:val="00F754F2"/>
    <w:rsid w:val="00F8321B"/>
    <w:rsid w:val="00FA686B"/>
    <w:rsid w:val="00FD7D44"/>
    <w:rsid w:val="00FE4103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C28"/>
  </w:style>
  <w:style w:type="paragraph" w:styleId="Titolo1">
    <w:name w:val="heading 1"/>
    <w:basedOn w:val="Normale"/>
    <w:next w:val="Normale"/>
    <w:link w:val="Titolo1Carattere"/>
    <w:qFormat/>
    <w:rsid w:val="00E45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5B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45B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45B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5BD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C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3C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C9F"/>
    <w:rPr>
      <w:color w:val="800080"/>
      <w:u w:val="single"/>
    </w:rPr>
  </w:style>
  <w:style w:type="paragraph" w:customStyle="1" w:styleId="xl65">
    <w:name w:val="xl65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67">
    <w:name w:val="xl67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45BD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5B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45BD0"/>
    <w:rPr>
      <w:rFonts w:ascii="Times New Roman" w:eastAsia="Times New Roman" w:hAnsi="Times New Roman" w:cs="Times New Roman"/>
      <w:b/>
      <w:bCs/>
      <w:sz w:val="1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45BD0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45BD0"/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styleId="NormaleWeb">
    <w:name w:val="Normal (Web)"/>
    <w:basedOn w:val="Normale"/>
    <w:semiHidden/>
    <w:unhideWhenUsed/>
    <w:rsid w:val="00E45B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45BD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xl73">
    <w:name w:val="xl73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5">
    <w:name w:val="xl75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6">
    <w:name w:val="xl76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7">
    <w:name w:val="xl77"/>
    <w:basedOn w:val="Normale"/>
    <w:rsid w:val="00E45B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semiHidden/>
    <w:rsid w:val="00E45BD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63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C28"/>
  </w:style>
  <w:style w:type="paragraph" w:styleId="Titolo1">
    <w:name w:val="heading 1"/>
    <w:basedOn w:val="Normale"/>
    <w:next w:val="Normale"/>
    <w:link w:val="Titolo1Carattere"/>
    <w:qFormat/>
    <w:rsid w:val="00E45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5B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45B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45B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5BD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C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3C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C9F"/>
    <w:rPr>
      <w:color w:val="800080"/>
      <w:u w:val="single"/>
    </w:rPr>
  </w:style>
  <w:style w:type="paragraph" w:customStyle="1" w:styleId="xl65">
    <w:name w:val="xl65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67">
    <w:name w:val="xl67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82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45BD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5B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45BD0"/>
    <w:rPr>
      <w:rFonts w:ascii="Times New Roman" w:eastAsia="Times New Roman" w:hAnsi="Times New Roman" w:cs="Times New Roman"/>
      <w:b/>
      <w:bCs/>
      <w:sz w:val="1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45BD0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45BD0"/>
    <w:rPr>
      <w:rFonts w:ascii="Times New Roman" w:eastAsia="Times New Roman" w:hAnsi="Times New Roman" w:cs="Times New Roman"/>
      <w:b/>
      <w:bCs/>
      <w:color w:val="000000"/>
      <w:sz w:val="16"/>
      <w:szCs w:val="16"/>
      <w:lang w:eastAsia="it-IT"/>
    </w:rPr>
  </w:style>
  <w:style w:type="paragraph" w:styleId="NormaleWeb">
    <w:name w:val="Normal (Web)"/>
    <w:basedOn w:val="Normale"/>
    <w:semiHidden/>
    <w:unhideWhenUsed/>
    <w:rsid w:val="00E45B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45BD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xl73">
    <w:name w:val="xl73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5">
    <w:name w:val="xl75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6">
    <w:name w:val="xl76"/>
    <w:basedOn w:val="Normale"/>
    <w:rsid w:val="00E45B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it-IT"/>
    </w:rPr>
  </w:style>
  <w:style w:type="paragraph" w:customStyle="1" w:styleId="xl77">
    <w:name w:val="xl77"/>
    <w:basedOn w:val="Normale"/>
    <w:rsid w:val="00E45B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semiHidden/>
    <w:rsid w:val="00E45BD0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4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6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lomb.camcom.it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cciaa01.mi.intra.cciaa.net\dati01\RelazioniConIMedia\Uffstamp\Com2021\04%20aprile\tabella-2gTopTe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cciaa01.mi.intra.cciaa.net\dati01\RelazioniConIMedia\Uffstamp\Com2021\04%20aprile\tabella-2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cciaa01.mi.intra.cciaa.net\dati01\RelazioniConIMedia\Uffstamp\Com2021\04%20aprile\tabella-2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cciaa01.mi.intra.cciaa.net\dati01\RelazioniConIMedia\Uffstamp\Com2021\04%20aprile\tabella-2f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cciaa01.mi.intra.cciaa.net\dati01\RelazioniConIMedia\Uffstamp\Com2021\04%20aprile\tabella-2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000" b="1">
                <a:solidFill>
                  <a:srgbClr val="800000"/>
                </a:solidFill>
              </a:defRPr>
            </a:pPr>
            <a:r>
              <a:rPr lang="it-IT" sz="1000" b="1">
                <a:solidFill>
                  <a:srgbClr val="800000"/>
                </a:solidFill>
              </a:rPr>
              <a:t>Le 10 attività economiche che producono più rifiuti nelle province di Milano Monza Brianza Lodi</a:t>
            </a:r>
          </a:p>
        </c:rich>
      </c:tx>
      <c:layout>
        <c:manualLayout>
          <c:xMode val="edge"/>
          <c:yMode val="edge"/>
          <c:x val="8.9515112524756968E-2"/>
          <c:y val="0.86352398562316912"/>
        </c:manualLayout>
      </c:layout>
      <c:overlay val="0"/>
    </c:title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50474155554676"/>
          <c:y val="7.4442582002325758E-2"/>
          <c:w val="0.70856371766159632"/>
          <c:h val="0.70374636919685529"/>
        </c:manualLayout>
      </c:layout>
      <c:pie3DChart>
        <c:varyColors val="1"/>
        <c:ser>
          <c:idx val="0"/>
          <c:order val="0"/>
          <c:tx>
            <c:strRef>
              <c:f>Totale!$G$2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1.507537688442211E-2"/>
                  <c:y val="-5.5096418732782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111739801369049E-2"/>
                  <c:y val="6.4704887095724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375750141785104E-2"/>
                  <c:y val="1.38837190805694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007755922571333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696672338068312E-2"/>
                  <c:y val="-3.54505686789151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39743076391175E-3"/>
                  <c:y val="-7.74721166197756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7919229229172632E-3"/>
                  <c:y val="-5.30072376872149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5.30072376872149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2847820153473614E-2"/>
                  <c:y val="-4.07747982209345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3.66973183988410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Totale!$A$3:$A$12</c:f>
              <c:strCache>
                <c:ptCount val="10"/>
                <c:pt idx="0">
                  <c:v>39</c:v>
                </c:pt>
                <c:pt idx="1">
                  <c:v>25</c:v>
                </c:pt>
                <c:pt idx="2">
                  <c:v>43</c:v>
                </c:pt>
                <c:pt idx="3">
                  <c:v>20</c:v>
                </c:pt>
                <c:pt idx="4">
                  <c:v>41</c:v>
                </c:pt>
                <c:pt idx="5">
                  <c:v>42</c:v>
                </c:pt>
                <c:pt idx="6">
                  <c:v>21</c:v>
                </c:pt>
                <c:pt idx="7">
                  <c:v>46</c:v>
                </c:pt>
                <c:pt idx="8">
                  <c:v>36</c:v>
                </c:pt>
                <c:pt idx="9">
                  <c:v>24</c:v>
                </c:pt>
              </c:strCache>
            </c:strRef>
          </c:cat>
          <c:val>
            <c:numRef>
              <c:f>Totale!$G$3:$G$12</c:f>
              <c:numCache>
                <c:formatCode>0.00%</c:formatCode>
                <c:ptCount val="10"/>
                <c:pt idx="0">
                  <c:v>0.14422809094810676</c:v>
                </c:pt>
                <c:pt idx="1">
                  <c:v>9.1893815268256587E-2</c:v>
                </c:pt>
                <c:pt idx="2">
                  <c:v>7.809875292806448E-2</c:v>
                </c:pt>
                <c:pt idx="3">
                  <c:v>6.494386449113751E-2</c:v>
                </c:pt>
                <c:pt idx="4">
                  <c:v>6.2017996385841954E-2</c:v>
                </c:pt>
                <c:pt idx="5">
                  <c:v>5.6600925324325965E-2</c:v>
                </c:pt>
                <c:pt idx="6">
                  <c:v>5.1725190352912002E-2</c:v>
                </c:pt>
                <c:pt idx="7">
                  <c:v>4.9296048896799942E-2</c:v>
                </c:pt>
                <c:pt idx="8">
                  <c:v>4.145972097490086E-2</c:v>
                </c:pt>
                <c:pt idx="9">
                  <c:v>3.0628697109061267E-2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Totale rifiuti speciali: media per insediamento produttivo iniziale (t)</a:t>
            </a:r>
          </a:p>
        </c:rich>
      </c:tx>
      <c:layout>
        <c:manualLayout>
          <c:xMode val="edge"/>
          <c:yMode val="edge"/>
          <c:x val="0.17187529140097962"/>
          <c:y val="1.40056405528945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48845750716803"/>
          <c:y val="0.12605076497605089"/>
          <c:w val="0.8582076002875878"/>
          <c:h val="0.6573310689105038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EFE" mc:Ignorable="a14" a14:legacySpreadsheetColorIndex="16">
                    <a:gamma/>
                    <a:tint val="54510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800000" mc:Ignorable="a14" a14:legacySpreadsheetColorIndex="16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409897262062568E-3"/>
                  <c:y val="6.82355881985340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671003045863462E-3"/>
                  <c:y val="-2.39752383893189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852039737227888E-3"/>
                  <c:y val="-6.36165182865892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712118827401188E-3"/>
                  <c:y val="-1.10677341802862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675025770293565E-3"/>
                  <c:y val="-1.59000524934383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178425716587406E-3"/>
                  <c:y val="1.70269116360454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685013383228892E-3"/>
                  <c:y val="7.26173228346453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5760785493830999E-4"/>
                  <c:y val="-2.49151209040046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0241764333912092E-3"/>
                  <c:y val="4.37781277340332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331863398370732E-4"/>
                  <c:y val="-7.675511149341626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8448204866204773E-3"/>
                  <c:y val="2.7731827639192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Totale!$A$4:$A$13</c:f>
              <c:strCache>
                <c:ptCount val="10"/>
                <c:pt idx="0">
                  <c:v>1 : 2</c:v>
                </c:pt>
                <c:pt idx="1">
                  <c:v>3 : 5</c:v>
                </c:pt>
                <c:pt idx="2">
                  <c:v>6 : 9</c:v>
                </c:pt>
                <c:pt idx="3">
                  <c:v>10 : 19</c:v>
                </c:pt>
                <c:pt idx="4">
                  <c:v>20 : 49</c:v>
                </c:pt>
                <c:pt idx="5">
                  <c:v>50 : 99</c:v>
                </c:pt>
                <c:pt idx="6">
                  <c:v>100 : 199</c:v>
                </c:pt>
                <c:pt idx="7">
                  <c:v>200 : 499</c:v>
                </c:pt>
                <c:pt idx="8">
                  <c:v>500 : Oltre</c:v>
                </c:pt>
                <c:pt idx="9">
                  <c:v>Non Censito</c:v>
                </c:pt>
              </c:strCache>
            </c:strRef>
          </c:cat>
          <c:val>
            <c:numRef>
              <c:f>Totale!$E$4:$E$13</c:f>
              <c:numCache>
                <c:formatCode>#,##0.00</c:formatCode>
                <c:ptCount val="10"/>
                <c:pt idx="0">
                  <c:v>44.180107235173317</c:v>
                </c:pt>
                <c:pt idx="1">
                  <c:v>85.823433403477551</c:v>
                </c:pt>
                <c:pt idx="2">
                  <c:v>77.681306271434664</c:v>
                </c:pt>
                <c:pt idx="3">
                  <c:v>161.21013391014324</c:v>
                </c:pt>
                <c:pt idx="4">
                  <c:v>158.59727589746547</c:v>
                </c:pt>
                <c:pt idx="5">
                  <c:v>345.8214686306311</c:v>
                </c:pt>
                <c:pt idx="6">
                  <c:v>632.27125264922995</c:v>
                </c:pt>
                <c:pt idx="7">
                  <c:v>847.22244433742242</c:v>
                </c:pt>
                <c:pt idx="8">
                  <c:v>536.90103559183626</c:v>
                </c:pt>
                <c:pt idx="9">
                  <c:v>69.002177966101712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779456"/>
        <c:axId val="122894976"/>
      </c:barChart>
      <c:catAx>
        <c:axId val="93779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N. addetti</a:t>
                </a:r>
              </a:p>
            </c:rich>
          </c:tx>
          <c:layout>
            <c:manualLayout>
              <c:xMode val="edge"/>
              <c:yMode val="edge"/>
              <c:x val="0.48784804933005327"/>
              <c:y val="0.924372276491039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it-IT"/>
          </a:p>
        </c:txPr>
        <c:crossAx val="122894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894976"/>
        <c:scaling>
          <c:orientation val="minMax"/>
          <c:max val="9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t/anno</a:t>
                </a:r>
              </a:p>
            </c:rich>
          </c:tx>
          <c:layout>
            <c:manualLayout>
              <c:xMode val="edge"/>
              <c:yMode val="edge"/>
              <c:x val="8.6805702727767477E-3"/>
              <c:y val="0.36694778248583709"/>
            </c:manualLayout>
          </c:layout>
          <c:overlay val="0"/>
          <c:spPr>
            <a:noFill/>
            <a:ln w="25400">
              <a:noFill/>
            </a:ln>
          </c:spPr>
        </c:title>
        <c:numFmt formatCode="_(* #,##0_);_(* \(#,##0\);_(* &quot;-&quot;_);_(@_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93779456"/>
        <c:crosses val="autoZero"/>
        <c:crossBetween val="between"/>
        <c:majorUnit val="100"/>
        <c:minorUnit val="5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1" i="0" u="none" strike="noStrike" baseline="0">
          <a:solidFill>
            <a:srgbClr val="800000"/>
          </a:solidFill>
          <a:latin typeface="+mn-lt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r>
              <a:rPr lang="it-IT" sz="1000">
                <a:latin typeface="+mn-lt"/>
              </a:rPr>
              <a:t>Totale rifiuti speciali: media per insediamento produttivo iniziale (t)</a:t>
            </a:r>
          </a:p>
        </c:rich>
      </c:tx>
      <c:layout>
        <c:manualLayout>
          <c:xMode val="edge"/>
          <c:yMode val="edge"/>
          <c:x val="0.17187529140097962"/>
          <c:y val="1.40056405528945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486273000544228E-2"/>
          <c:y val="0.12605076497605089"/>
          <c:w val="0.88020982565956229"/>
          <c:h val="0.6573310689105038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EFE" mc:Ignorable="a14" a14:legacySpreadsheetColorIndex="16">
                    <a:gamma/>
                    <a:tint val="54510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800000" mc:Ignorable="a14" a14:legacySpreadsheetColorIndex="16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409897262062568E-3"/>
                  <c:y val="6.82355881985340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928157740613E-3"/>
                  <c:y val="1.71078615173104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291363326780682E-3"/>
                  <c:y val="1.23125785747369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712118827401188E-3"/>
                  <c:y val="-1.10677341802862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118147299946638E-3"/>
                  <c:y val="-1.32410831073317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177566647143505E-3"/>
                  <c:y val="7.25673996632773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2027707302931071E-4"/>
                  <c:y val="-1.7985692964849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5760785493830999E-4"/>
                  <c:y val="8.69832447414661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566842367844514E-3"/>
                  <c:y val="9.3676525728400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331863398370732E-4"/>
                  <c:y val="-7.675511149341626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8448204866204773E-3"/>
                  <c:y val="2.7731827639192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Milano!$A$4:$A$13</c:f>
              <c:strCache>
                <c:ptCount val="10"/>
                <c:pt idx="0">
                  <c:v>1 : 2</c:v>
                </c:pt>
                <c:pt idx="1">
                  <c:v>3 : 5</c:v>
                </c:pt>
                <c:pt idx="2">
                  <c:v>6 : 9</c:v>
                </c:pt>
                <c:pt idx="3">
                  <c:v>10 : 19</c:v>
                </c:pt>
                <c:pt idx="4">
                  <c:v>20 : 49</c:v>
                </c:pt>
                <c:pt idx="5">
                  <c:v>50 : 99</c:v>
                </c:pt>
                <c:pt idx="6">
                  <c:v>100 : 199</c:v>
                </c:pt>
                <c:pt idx="7">
                  <c:v>200 : 499</c:v>
                </c:pt>
                <c:pt idx="8">
                  <c:v>500 : Oltre</c:v>
                </c:pt>
                <c:pt idx="9">
                  <c:v>Non Censito</c:v>
                </c:pt>
              </c:strCache>
            </c:strRef>
          </c:cat>
          <c:val>
            <c:numRef>
              <c:f>Milano!$E$4:$E$13</c:f>
              <c:numCache>
                <c:formatCode>#,##0.00</c:formatCode>
                <c:ptCount val="10"/>
                <c:pt idx="0">
                  <c:v>47.659719453028863</c:v>
                </c:pt>
                <c:pt idx="1">
                  <c:v>106.65566153490721</c:v>
                </c:pt>
                <c:pt idx="2">
                  <c:v>97.212522933643797</c:v>
                </c:pt>
                <c:pt idx="3">
                  <c:v>212.69241469663456</c:v>
                </c:pt>
                <c:pt idx="4">
                  <c:v>167.95506659145485</c:v>
                </c:pt>
                <c:pt idx="5">
                  <c:v>335.99724050968376</c:v>
                </c:pt>
                <c:pt idx="6">
                  <c:v>585.84467981020362</c:v>
                </c:pt>
                <c:pt idx="7">
                  <c:v>724.97837009266289</c:v>
                </c:pt>
                <c:pt idx="8">
                  <c:v>443.1920896183197</c:v>
                </c:pt>
                <c:pt idx="9">
                  <c:v>85.233477777777821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627648"/>
        <c:axId val="135868800"/>
      </c:barChart>
      <c:catAx>
        <c:axId val="131627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it-IT" sz="1000">
                    <a:latin typeface="+mn-lt"/>
                  </a:rPr>
                  <a:t>N. addetti</a:t>
                </a:r>
              </a:p>
            </c:rich>
          </c:tx>
          <c:layout>
            <c:manualLayout>
              <c:xMode val="edge"/>
              <c:yMode val="edge"/>
              <c:x val="0.48784804933005327"/>
              <c:y val="0.924372276491039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3586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868800"/>
        <c:scaling>
          <c:orientation val="minMax"/>
          <c:max val="8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it-IT" sz="1000">
                    <a:latin typeface="+mn-lt"/>
                  </a:rPr>
                  <a:t>t/anno</a:t>
                </a:r>
              </a:p>
            </c:rich>
          </c:tx>
          <c:layout>
            <c:manualLayout>
              <c:xMode val="edge"/>
              <c:yMode val="edge"/>
              <c:x val="8.6805702727767477E-3"/>
              <c:y val="0.36694778248583709"/>
            </c:manualLayout>
          </c:layout>
          <c:overlay val="0"/>
          <c:spPr>
            <a:noFill/>
            <a:ln w="25400">
              <a:noFill/>
            </a:ln>
          </c:spPr>
        </c:title>
        <c:numFmt formatCode="_(* #,##0_);_(* \(#,##0\);_(* &quot;-&quot;_);_(@_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31627648"/>
        <c:crosses val="autoZero"/>
        <c:crossBetween val="between"/>
        <c:majorUnit val="100"/>
        <c:minorUnit val="5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8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r>
              <a:rPr lang="it-IT" sz="1000">
                <a:latin typeface="+mn-lt"/>
              </a:rPr>
              <a:t>Numero di produttori iniziali di rifiuti speciali per classe dimensionale riferita al numero di addetti </a:t>
            </a:r>
          </a:p>
        </c:rich>
      </c:tx>
      <c:layout>
        <c:manualLayout>
          <c:xMode val="edge"/>
          <c:yMode val="edge"/>
          <c:x val="0.11979186976431913"/>
          <c:y val="1.40056405528945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838691483361534"/>
          <c:y val="0.12605076497605089"/>
          <c:w val="0.82548782924977016"/>
          <c:h val="0.7479012055245687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800000" mc:Ignorable="a14" a14:legacySpreadsheetColorIndex="16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16">
                    <a:gamma/>
                    <a:tint val="45490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4346352401314071E-3"/>
                  <c:y val="-8.92594308064433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7644678932817E-3"/>
                  <c:y val="-1.3630649110037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4961384903029252E-3"/>
                  <c:y val="-1.26984126984126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6543204942021844E-3"/>
                  <c:y val="3.49191645162008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586327371330237E-3"/>
                  <c:y val="-5.75133990604115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05041945898899E-3"/>
                  <c:y val="5.5463655278384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6366063350572568E-3"/>
                  <c:y val="-6.49850089528321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1490804134834984E-2"/>
                  <c:y val="-1.29411530952415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7707702716551781E-3"/>
                  <c:y val="-2.5770366317264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7268729052809908E-3"/>
                  <c:y val="-6.21826664021888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Monza!$A$4:$A$13</c:f>
              <c:strCache>
                <c:ptCount val="10"/>
                <c:pt idx="0">
                  <c:v>1 : 2</c:v>
                </c:pt>
                <c:pt idx="1">
                  <c:v>3 : 5</c:v>
                </c:pt>
                <c:pt idx="2">
                  <c:v>6 : 9</c:v>
                </c:pt>
                <c:pt idx="3">
                  <c:v>10 : 19</c:v>
                </c:pt>
                <c:pt idx="4">
                  <c:v>20 : 49</c:v>
                </c:pt>
                <c:pt idx="5">
                  <c:v>50 : 99</c:v>
                </c:pt>
                <c:pt idx="6">
                  <c:v>100 : 199</c:v>
                </c:pt>
                <c:pt idx="7">
                  <c:v>200 : 499</c:v>
                </c:pt>
                <c:pt idx="8">
                  <c:v>500 : Oltre</c:v>
                </c:pt>
                <c:pt idx="9">
                  <c:v>Non Censito</c:v>
                </c:pt>
              </c:strCache>
            </c:strRef>
          </c:cat>
          <c:val>
            <c:numRef>
              <c:f>Monza!$B$4:$B$13</c:f>
              <c:numCache>
                <c:formatCode>#,##0</c:formatCode>
                <c:ptCount val="10"/>
                <c:pt idx="0">
                  <c:v>1176</c:v>
                </c:pt>
                <c:pt idx="1">
                  <c:v>795</c:v>
                </c:pt>
                <c:pt idx="2">
                  <c:v>518</c:v>
                </c:pt>
                <c:pt idx="3">
                  <c:v>922</c:v>
                </c:pt>
                <c:pt idx="4">
                  <c:v>630</c:v>
                </c:pt>
                <c:pt idx="5">
                  <c:v>221</c:v>
                </c:pt>
                <c:pt idx="6">
                  <c:v>122</c:v>
                </c:pt>
                <c:pt idx="7">
                  <c:v>53</c:v>
                </c:pt>
                <c:pt idx="8">
                  <c:v>13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3188864"/>
        <c:axId val="187179776"/>
      </c:barChart>
      <c:catAx>
        <c:axId val="1831888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it-IT" sz="1000">
                    <a:latin typeface="+mn-lt"/>
                  </a:rPr>
                  <a:t>N. addetti</a:t>
                </a:r>
              </a:p>
            </c:rich>
          </c:tx>
          <c:layout>
            <c:manualLayout>
              <c:xMode val="edge"/>
              <c:yMode val="edge"/>
              <c:x val="1.5625026490998149E-2"/>
              <c:y val="0.4229703446974152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8717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179776"/>
        <c:scaling>
          <c:orientation val="minMax"/>
          <c:max val="1300"/>
          <c:min val="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8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it-IT" sz="1000">
                    <a:latin typeface="+mn-lt"/>
                  </a:rPr>
                  <a:t>N. insediamenti</a:t>
                </a:r>
              </a:p>
            </c:rich>
          </c:tx>
          <c:layout>
            <c:manualLayout>
              <c:xMode val="edge"/>
              <c:yMode val="edge"/>
              <c:x val="0.46701468067538904"/>
              <c:y val="0.9299745327121977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8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83188864"/>
        <c:crosses val="autoZero"/>
        <c:crossBetween val="between"/>
        <c:majorUnit val="130"/>
        <c:minorUnit val="5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1" i="0" u="none" strike="noStrike" baseline="0">
          <a:solidFill>
            <a:srgbClr val="8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Totale rifiuti speciali: media per insediamento produttivo iniziale (t)</a:t>
            </a:r>
          </a:p>
        </c:rich>
      </c:tx>
      <c:layout>
        <c:manualLayout>
          <c:xMode val="edge"/>
          <c:yMode val="edge"/>
          <c:x val="0.17187529140097962"/>
          <c:y val="1.40056405528945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86250956686428"/>
          <c:y val="0.12605076497605089"/>
          <c:w val="0.86483363385178169"/>
          <c:h val="0.6573310689105038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EFE" mc:Ignorable="a14" a14:legacySpreadsheetColorIndex="16">
                    <a:gamma/>
                    <a:tint val="54510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800000" mc:Ignorable="a14" a14:legacySpreadsheetColorIndex="16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409897262062568E-3"/>
                  <c:y val="6.82355881985340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231638751284802E-3"/>
                  <c:y val="-9.03592933236286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291363326780682E-3"/>
                  <c:y val="1.23125785747369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712118827401188E-3"/>
                  <c:y val="1.367476124307990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117947358753544E-3"/>
                  <c:y val="-2.4445473727548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177552352907306E-3"/>
                  <c:y val="-7.68256909062837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2035136876416165E-4"/>
                  <c:y val="1.18929251490622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5760785493830999E-4"/>
                  <c:y val="4.96349720990758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566738801486659E-3"/>
                  <c:y val="1.89799804436210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331863398370732E-4"/>
                  <c:y val="-7.675511149341626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8448204866204773E-3"/>
                  <c:y val="2.7731827639192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Lodi!$A$4:$A$13</c:f>
              <c:strCache>
                <c:ptCount val="10"/>
                <c:pt idx="0">
                  <c:v>1 : 2</c:v>
                </c:pt>
                <c:pt idx="1">
                  <c:v>3 : 5</c:v>
                </c:pt>
                <c:pt idx="2">
                  <c:v>6 : 9</c:v>
                </c:pt>
                <c:pt idx="3">
                  <c:v>10 : 19</c:v>
                </c:pt>
                <c:pt idx="4">
                  <c:v>20 : 49</c:v>
                </c:pt>
                <c:pt idx="5">
                  <c:v>50 : 99</c:v>
                </c:pt>
                <c:pt idx="6">
                  <c:v>100 : 199</c:v>
                </c:pt>
                <c:pt idx="7">
                  <c:v>200 : 499</c:v>
                </c:pt>
                <c:pt idx="8">
                  <c:v>500 : Oltre</c:v>
                </c:pt>
                <c:pt idx="9">
                  <c:v>Non Censito</c:v>
                </c:pt>
              </c:strCache>
            </c:strRef>
          </c:cat>
          <c:val>
            <c:numRef>
              <c:f>Lodi!$E$4:$E$13</c:f>
              <c:numCache>
                <c:formatCode>#,##0.00</c:formatCode>
                <c:ptCount val="10"/>
                <c:pt idx="0">
                  <c:v>95.096854313063119</c:v>
                </c:pt>
                <c:pt idx="1">
                  <c:v>51.047654541832756</c:v>
                </c:pt>
                <c:pt idx="2">
                  <c:v>20.468881290322582</c:v>
                </c:pt>
                <c:pt idx="3">
                  <c:v>50.285005885416723</c:v>
                </c:pt>
                <c:pt idx="4">
                  <c:v>261.02650507518808</c:v>
                </c:pt>
                <c:pt idx="5">
                  <c:v>831.93473646031669</c:v>
                </c:pt>
                <c:pt idx="6">
                  <c:v>1338.864499999999</c:v>
                </c:pt>
                <c:pt idx="7">
                  <c:v>659.30624999999998</c:v>
                </c:pt>
                <c:pt idx="8">
                  <c:v>840.66166666666686</c:v>
                </c:pt>
                <c:pt idx="9">
                  <c:v>24.1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7633024"/>
        <c:axId val="196729856"/>
      </c:barChart>
      <c:catAx>
        <c:axId val="187633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N. addetti</a:t>
                </a:r>
              </a:p>
            </c:rich>
          </c:tx>
          <c:layout>
            <c:manualLayout>
              <c:xMode val="edge"/>
              <c:yMode val="edge"/>
              <c:x val="0.48784804933005327"/>
              <c:y val="0.9243722764910399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it-IT"/>
          </a:p>
        </c:txPr>
        <c:crossAx val="19672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6729856"/>
        <c:scaling>
          <c:orientation val="minMax"/>
          <c:max val="15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t/anno</a:t>
                </a:r>
              </a:p>
            </c:rich>
          </c:tx>
          <c:layout>
            <c:manualLayout>
              <c:xMode val="edge"/>
              <c:yMode val="edge"/>
              <c:x val="2.0907435993894499E-3"/>
              <c:y val="0.36694764470230695"/>
            </c:manualLayout>
          </c:layout>
          <c:overlay val="0"/>
          <c:spPr>
            <a:noFill/>
            <a:ln w="25400">
              <a:noFill/>
            </a:ln>
          </c:spPr>
        </c:title>
        <c:numFmt formatCode="_(* #,##0_);_(* \(#,##0\);_(* &quot;-&quot;_);_(@_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187633024"/>
        <c:crosses val="autoZero"/>
        <c:crossBetween val="between"/>
        <c:majorUnit val="300"/>
        <c:minorUnit val="5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1" i="0" u="none" strike="noStrike" baseline="0">
          <a:solidFill>
            <a:srgbClr val="800000"/>
          </a:solidFill>
          <a:latin typeface="+mn-lt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Frabasile</dc:creator>
  <cp:lastModifiedBy>Antonella Patrizia Barberis</cp:lastModifiedBy>
  <cp:revision>3</cp:revision>
  <cp:lastPrinted>2019-01-14T15:03:00Z</cp:lastPrinted>
  <dcterms:created xsi:type="dcterms:W3CDTF">2021-04-08T17:29:00Z</dcterms:created>
  <dcterms:modified xsi:type="dcterms:W3CDTF">2021-04-09T14:35:00Z</dcterms:modified>
</cp:coreProperties>
</file>